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5F7" w:rsidRDefault="00AC65F7" w:rsidP="00AC65F7">
      <w:pPr>
        <w:pStyle w:val="MDPI41tablecaption"/>
        <w:ind w:left="0"/>
        <w:jc w:val="center"/>
      </w:pPr>
      <w:r w:rsidRPr="00B07E0E">
        <w:rPr>
          <w:b/>
        </w:rPr>
        <w:t xml:space="preserve">Table </w:t>
      </w:r>
      <w:r>
        <w:rPr>
          <w:b/>
        </w:rPr>
        <w:t>S5</w:t>
      </w:r>
      <w:r w:rsidRPr="00B07E0E">
        <w:rPr>
          <w:b/>
        </w:rPr>
        <w:t xml:space="preserve">. </w:t>
      </w:r>
      <w:r>
        <w:t>List of nominal and optimized kinetic parameters with reference value and boundaries</w:t>
      </w:r>
      <w:r w:rsidRPr="00325902">
        <w:t>.</w:t>
      </w:r>
    </w:p>
    <w:tbl>
      <w:tblPr>
        <w:tblW w:w="9922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304"/>
        <w:gridCol w:w="567"/>
        <w:gridCol w:w="1474"/>
        <w:gridCol w:w="1871"/>
        <w:gridCol w:w="1871"/>
        <w:gridCol w:w="1871"/>
      </w:tblGrid>
      <w:tr w:rsidR="00AC65F7" w:rsidRPr="001406A6" w:rsidTr="000A4D90"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F7" w:rsidRPr="007F7C8C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Parameter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F7" w:rsidRPr="007F7C8C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Nominal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C65F7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Ref.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AC65F7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Bounds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F7" w:rsidRPr="007F7C8C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Optimized model 1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AC65F7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Optimized model 2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AC65F7" w:rsidRDefault="00AC65F7" w:rsidP="000A4D90">
            <w:pPr>
              <w:pStyle w:val="MDPI42tablebody"/>
              <w:spacing w:line="240" w:lineRule="auto"/>
              <w:rPr>
                <w:b/>
                <w:snapToGrid/>
              </w:rPr>
            </w:pPr>
            <w:r>
              <w:rPr>
                <w:b/>
                <w:snapToGrid/>
              </w:rPr>
              <w:t>Optimized model 3</w:t>
            </w:r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7.000⋅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Pr="00ED2323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ED2323">
              <w:rPr>
                <w:rFonts w:eastAsia="Calibri"/>
              </w:rPr>
              <w:t xml:space="preserve">exp., </w:t>
            </w: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{"citationID":"BfdLymwT","properties":{"formattedCitation":"[54]","plainCitation":"[54]","noteIndex":0},"citationItems":[{"id":423,"uris":["http://zotero.org/users/9482166/items/JKM2LCKB"],"itemData":{"id":423,"type":"article-journal","container-title":"Biotechnology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Pr="00C748C6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C748C6">
              <w:rPr>
                <w:rFonts w:eastAsia="Calibri"/>
              </w:rPr>
              <w:t>10 % - 5 %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9.840⋅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1.185⋅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1.117⋅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max,3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7.000⋅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Pr="00ED2323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ED2323">
              <w:rPr>
                <w:rFonts w:eastAsia="Calibri"/>
              </w:rPr>
              <w:t>exp.</w:t>
            </w:r>
          </w:p>
        </w:tc>
        <w:tc>
          <w:tcPr>
            <w:tcW w:w="1474" w:type="dxa"/>
          </w:tcPr>
          <w:p w:rsidR="00AC65F7" w:rsidRPr="00C748C6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C748C6">
              <w:rPr>
                <w:rFonts w:eastAsia="Calibri"/>
              </w:rPr>
              <w:t>10 % - 5 % (only upper bound)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1.014⋅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5.082⋅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Pr="00F220D4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8.679⋅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max,4f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7.000⋅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Pr="00ED2323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ED2323">
              <w:rPr>
                <w:rFonts w:eastAsia="Calibri"/>
              </w:rPr>
              <w:t>exp.</w:t>
            </w:r>
          </w:p>
        </w:tc>
        <w:tc>
          <w:tcPr>
            <w:tcW w:w="1474" w:type="dxa"/>
          </w:tcPr>
          <w:p w:rsidR="00AC65F7" w:rsidRPr="00C748C6" w:rsidRDefault="00AC65F7" w:rsidP="000A4D90">
            <w:pPr>
              <w:pStyle w:val="MDPI42tablebody"/>
              <w:spacing w:line="240" w:lineRule="auto"/>
              <w:rPr>
                <w:rFonts w:eastAsia="Calibri"/>
              </w:rPr>
            </w:pPr>
            <w:r w:rsidRPr="00C748C6">
              <w:rPr>
                <w:rFonts w:eastAsia="Calibri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1.067⋅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8.698⋅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7.554⋅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max,4r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exp.</w:t>
            </w:r>
          </w:p>
        </w:tc>
        <w:tc>
          <w:tcPr>
            <w:tcW w:w="1474" w:type="dxa"/>
          </w:tcPr>
          <w:p w:rsidR="00AC65F7" w:rsidRPr="00C748C6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 w:rsidRPr="00C748C6">
              <w:rPr>
                <w:rFonts w:eastAsia="Calibri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1.897⋅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2.987⋅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8.570⋅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max,5f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1.900⋅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exp.</w:t>
            </w:r>
          </w:p>
        </w:tc>
        <w:tc>
          <w:tcPr>
            <w:tcW w:w="1474" w:type="dxa"/>
          </w:tcPr>
          <w:p w:rsidR="00AC65F7" w:rsidRPr="00C748C6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 w:rsidRPr="00C748C6">
              <w:rPr>
                <w:rFonts w:eastAsia="Calibri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2.363⋅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2.029⋅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2.210⋅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max,5r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exp.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 w:rsidRPr="00C748C6">
              <w:rPr>
                <w:rFonts w:eastAsia="Calibri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1.098⋅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3.656⋅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2.150⋅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max,6f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7.800⋅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{"citationID":"6fMlIRvt","properties":{"formattedCitation":"[12]","plainCitation":"[12]","noteIndex":0},"citationItems":[{"id":334,"uris":["http://zotero.org/users/9482166/items/HKPSZW9V"],"itemData":{"id":334,"type":"article-journal","container-title":"PLOS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2.356⋅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1.249⋅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1.579⋅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max,6r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arb</w:t>
            </w:r>
            <w:proofErr w:type="gramEnd"/>
            <w:r>
              <w:rPr>
                <w:rFonts w:eastAsia="Calibri" w:cs="Arial"/>
              </w:rPr>
              <w:t>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1.962⋅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3.306⋅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1.695⋅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max,7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7.000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exp.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t xml:space="preserve">10 % - </w:t>
            </w:r>
            <w:r w:rsidRPr="00C748C6">
              <w:rPr>
                <w:rFonts w:eastAsia="Calibri"/>
              </w:rPr>
              <w:t>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9.370⋅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2.137⋅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9.890⋅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max,8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arb</w:t>
            </w:r>
            <w:proofErr w:type="gramEnd"/>
            <w:r>
              <w:rPr>
                <w:rFonts w:eastAsia="Calibri" w:cs="Arial"/>
              </w:rPr>
              <w:t>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5.100⋅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2.100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9.800⋅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max,9f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4.800⋅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arb</w:t>
            </w:r>
            <w:proofErr w:type="gramEnd"/>
            <w:r>
              <w:rPr>
                <w:rFonts w:eastAsia="Calibri" w:cs="Arial"/>
              </w:rPr>
              <w:t>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50 % - 25 %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2.690⋅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2.220⋅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2.670⋅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max,9r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arb</w:t>
            </w:r>
            <w:proofErr w:type="gramEnd"/>
            <w:r>
              <w:rPr>
                <w:rFonts w:eastAsia="Calibri" w:cs="Arial"/>
              </w:rPr>
              <w:t>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8.287⋅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1.326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3.489⋅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max,10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8.500⋅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{"citationID":"6MedPLgl","properties":{"formattedCitation":"[12]","plainCitation":"[12]","noteIndex":0},"citationItems":[{"id":334,"uris":["http://zotero.org/users/9482166/items/HKPSZW9V"],"itemData":{"id":334,"type":"article-journal","container-title":"PLOS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9.909⋅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7.040⋅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7.420⋅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max,11f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3.900⋅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{"citationID":"FcsqFEwm","properties":{"formattedCitation":"[12]","plainCitation":"[12]","noteIndex":0},"citationItems":[{"id":334,"uris":["http://zotero.org/users/9482166/items/HKPSZW9V"],"itemData":{"id":334,"type":"article-journal","container-title":"PLOS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5.372⋅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4.674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5.078⋅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max,11r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1.300⋅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proofErr w:type="gramStart"/>
            <w:r>
              <w:rPr>
                <w:rFonts w:eastAsia="Calibri" w:cs="Arial"/>
              </w:rPr>
              <w:t>arb</w:t>
            </w:r>
            <w:proofErr w:type="gramEnd"/>
            <w:r>
              <w:rPr>
                <w:rFonts w:eastAsia="Calibri" w:cs="Arial"/>
              </w:rPr>
              <w:t>.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2.147⋅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mpyr1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3.900⋅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{"citationID":"hQTWBUfm","properties":{"formattedCitation":"[12]","plainCitation":"[12]","noteIndex":0},"citationItems":[{"id":334,"uris":["http://zotero.org/users/9482166/items/HKPSZW9V"],"itemData":{"id":334,"type":"article-journal","container-title":"PLOS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8.290⋅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7.300⋅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</w:pPr>
            <m:oMathPara>
              <m:oMath>
                <m:r>
                  <w:rPr>
                    <w:rFonts w:ascii="Cambria Math" w:hAnsi="Cambria Math"/>
                  </w:rPr>
                  <m:t>8.000⋅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mglu1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1.700⋅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{"citationID":"QVcm66pD","properties":{"formattedCitation":"[12]","plainCitation":"[12]","noteIndex":0},"citationItems":[{"id":334,"uris":["http://zotero.org/users/9482166/items/HKPSZW9V"],"itemData":{"id":334,"type":"article-journal","container-title":"PLOS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3.717⋅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7.994⋅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7.562⋅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mglc1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{"citationID":"vBtMLAoq","properties":{"formattedCitation":"[54]","plainCitation":"[54]","noteIndex":0},"citationItems":[{"id":423,"uris":["http://zotero.org/users/9482166/items/JKM2LCKB"],"itemData":{"id":423,"type":"article-journal","container-title":"Biotechnology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1.084⋅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9.030⋅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1.269⋅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masn1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4.200⋅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{"citationID":"gwo1mzei","properties":{"formattedCitation":"[12]","plainCitation":"[12]","noteIndex":0},"citationItems":[{"id":334,"uris":["http://zotero.org/users/9482166/items/HKPSZW9V"],"itemData":{"id":334,"type":"article-journal","container-title":"PLOS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2.984⋅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1.180⋅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1.600⋅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dnh41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{"citationID":"xz4xYIFK","properties":{"formattedCitation":"[54]","plainCitation":"[54]","noteIndex":0},"citationItems":[{"id":423,"uris":["http://zotero.org/users/9482166/items/JKM2LCKB"],"itemData":{"id":423,"type":"article-journal","container-title":"Biotechnology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3.450⋅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3.449⋅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2.843⋅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dlac1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9.000⋅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{"citationID":"Gq04WGYz","properties":{"formattedCitation":"[54]","plainCitation":"[54]","noteIndex":0},"citationItems":[{"id":423,"uris":["http://zotero.org/users/9482166/items/JKM2LCKB"],"itemData":{"id":423,"type":"article-journal","container-title":"Biotechnology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1.171⋅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mglc3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1.100⋅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jetzBpA3","properties":{"formattedCitation":"[34]","plainCitation":"[34]","noteIndex":0},"citationItems":[{"id":402,"uris":["http://zotero.org/users/9482166/items/MZ89XU84"],"itemData":{"id":402,"type":"article-journal","container-title":"Cytotechnology","DOI":"10.1007/s10616-013-9648-1","ISSN":"0920-9069, 1573-0778","issue":"6","journalAbbreviation":"Cytotechnology","language":"en","page":"945-966","source":"DOI.org (Crossref)","title":"Analysis of Chinese hamster ovary cell metabolism through a combined computational and experimental approach","volume":"66","author":[{"family":"Chen","given":"Ning"},{"family":"Bennett","given":"Mark H."},{"family":"Kontoravdi","given":"Cleo"}],"issued":{"date-parts":[["2014",12]]}}}],"schema":"https://github.com/citation-style-language/schema/raw/master/csl-citation.json"}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[34]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7.400⋅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1.700⋅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4.600⋅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AC65F7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masn3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4.463⋅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1.507⋅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2.965⋅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mpyr4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9F07EJIW","properties":{"formattedCitation":"[34]","plainCitation":"[34]","noteIndex":0},"citationItems":[{"id":402,"uris":["http://zotero.org/users/9482166/items/MZ89XU84"],"itemData":{"id":402,"type":"article-journal","container-title":"Cytotechnology","DOI":"10.1007/s10616-013-9648-1","ISSN":"0920-9069, 1573-0778","issue":"6","journalAbbreviation":"Cytotechnology","language":"en","page":"945-966","source":"DOI.org (Crossref)","title":"Analysis of Chinese hamster ovary cell metabolism through a combined computational and experimental approach","volume":"66","author":[{"family":"Chen","given":"Ning"},{"family":"Bennett","given":"Mark H."},{"family":"Kontoravdi","given":"Cleo"}],"issued":{"date-parts":[["2014",12]]}}}],"schema":"https://github.com/citation-style-language/schema/raw/master/csl-citation.json"}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[34]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2.065⋅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2.800⋅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2.910⋅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mlac4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1.790⋅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N1Gn2l5Q","properties":{"formattedCitation":"[34]","plainCitation":"[34]","noteIndex":0},"citationItems":[{"id":402,"uris":["http://zotero.org/users/9482166/items/MZ89XU84"],"itemData":{"id":402,"type":"article-journal","container-title":"Cytotechnology","DOI":"10.1007/s10616-013-9648-1","ISSN":"0920-9069, 1573-0778","issue":"6","journalAbbreviation":"Cytotechnology","language":"en","page":"945-966","source":"DOI.org (Crossref)","title":"Analysis of Chinese hamster ovary cell metabolism through a combined computational and experimental approach","volume":"66","author":[{"family":"Chen","given":"Ning"},{"family":"Bennett","given":"Mark H."},{"family":"Kontoravdi","given":"Cleo"}],"issued":{"date-parts":[["2014",12]]}}}],"schema":"https://github.com/citation-style-language/schema/raw/master/csl-citation.json"}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[34]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1.809⋅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2.457⋅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5.473⋅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ilac4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3.491⋅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6.268⋅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1.613⋅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masn5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2.240⋅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YBGAYy9x","properties":{"formattedCitation":"[55]","plainCitation":"[55]","noteIndex":0},"citationItems":[{"id":424,"uris":["http://zotero.org/users/9482166/items/IBXQZZEV"],"itemData":{"id":424,"type":"article-journal","container-title":"Biochemistry","DOI":"10.1021/bi401692v","ISSN":"0006-2960, 1520-4995","issue":"14","journalAbbreviation":"Biochemistry","language":"en","page":"2318-2328","source":"DOI.org (Crossref)","title":"Structural and Kinetic Characterization of Guinea Pig &lt;span style=\"font-variant:small-caps;\"&gt;l&lt;/span&gt; -Asparaginase Type III","title-short":"Structural and Kinetic Characterization of Guinea Pig &lt;span style=\"font-variant","volume":"53","author":[{"family":"Schalk","given":"Amanda M."},{"family":"Lavie","given":"Arnon"}],"issued":{"date-parts":[["2014",4,15]]}}}],"schema":"https://github.com/citation-style-language/schema/raw/master/csl-citation.json"}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[55]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9.946⋅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6.989⋅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6.893⋅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masp5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{"citationID":"7LHengAM","properties":{"formattedCitation":"[12]","plainCitation":"[12]","noteIndex":0},"citationItems":[{"id":334,"uris":["http://zotero.org/users/9482166/items/HKPSZW9V"],"itemData":{"id":334,"type":"article-journal","container-title":"PLOS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1.800⋅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3.350⋅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5.300⋅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mnh45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1.100⋅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{"citationID":"Iuriq68V","properties":{"formattedCitation":"[12]","plainCitation":"[12]","noteIndex":0},"citationItems":[{"id":334,"uris":["http://zotero.org/users/9482166/items/HKPSZW9V"],"itemData":{"id":334,"type":"article-journal","container-title":"PLOS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8.172⋅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2.050⋅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2.632⋅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masp6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fldChar w:fldCharType="begin"/>
            </w:r>
            <w:r>
              <w:rPr>
                <w:rFonts w:ascii="Calibri" w:eastAsia="Calibri" w:hAnsi="Calibri"/>
              </w:rPr>
              <w:instrText xml:space="preserve"> ADDIN ZOTERO_ITEM CSL_CITATION {"citationID":"Wq8mJBlO","properties":{"formattedCitation":"[56]","plainCitation":"[56]","noteIndex":0},"citationItems":[{"id":426,"uris":["http://zotero.org/users/9482166/items/HVHN32LC"],"itemData":{"id":426,"type":"article-journal","container-title":"Biochemistry (Moscow)","DOI":"10.1134/S0006297906020143","ISSN":"0006-2979, 1608-3040","issue":"2","journalAbbreviation":"Biochemistry (Moscow)","language":"en","page":"211-217","source":"DOI.org (Crossref)","title":"Regulation of 2-oxoglutarate metabolism in rat liver by NADP-isocitrate dehydrogenase and aspartate aminotransferase","volume":"71","author":[{"family":"Rakhmanova","given":"T. I."},{"family":"Popova","given":"T. N."}],"issued":{"date-parts":[["2006",2]]}}}],"schema":"https://github.com/citation-style-language/schema/raw/master/csl-citation.json"} </w:instrText>
            </w:r>
            <w:r>
              <w:rPr>
                <w:rFonts w:ascii="Calibri" w:eastAsia="Calibri" w:hAnsi="Calibri"/>
              </w:rPr>
              <w:fldChar w:fldCharType="separate"/>
            </w:r>
            <w:r w:rsidRPr="00EA03E9">
              <w:rPr>
                <w:rFonts w:ascii="Calibri" w:eastAsia="Calibri" w:hAnsi="Calibri" w:cs="Calibri"/>
              </w:rPr>
              <w:t>[56]</w:t>
            </w:r>
            <w:r>
              <w:rPr>
                <w:rFonts w:ascii="Calibri" w:eastAsia="Calibri" w:hAnsi="Calibri"/>
              </w:rPr>
              <w:fldChar w:fldCharType="end"/>
            </w:r>
            <w:r>
              <w:rPr>
                <w:rFonts w:ascii="Calibri" w:eastAsia="Calibri" w:hAnsi="Calibri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1.336⋅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2.996⋅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7.696⋅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mglu6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{"citationID":"GJ9R5X5F","properties":{"formattedCitation":"[12]","plainCitation":"[12]","noteIndex":0},"citationItems":[{"id":334,"uris":["http://zotero.org/users/9482166/items/HKPSZW9V"],"itemData":{"id":334,"type":"article-journal","container-title":"PLOS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1.955⋅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3.700⋅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mglu7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{"citationID":"ImeF1eLk","properties":{"formattedCitation":"[12]","plainCitation":"[12]","noteIndex":0},"citationItems":[{"id":334,"uris":["http://zotero.org/users/9482166/items/HKPSZW9V"],"itemData":{"id":334,"type":"article-journal","container-title":"PLOS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2.439⋅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mglc7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{"citationID":"lwKdh4Z5","properties":{"formattedCitation":"[12]","plainCitation":"[12]","noteIndex":0},"citationItems":[{"id":334,"uris":["http://zotero.org/users/9482166/items/HKPSZW9V"],"itemData":{"id":334,"type":"article-journal","container-title":"PLOS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4.737⋅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7.417⋅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3.776⋅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mile8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2.220⋅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{"citationID":"rkUVrntv","properties":{"formattedCitation":"[57]","plainCitation":"[57]","noteIndex":0},"citationItems":[{"id":427,"uris":["http://zotero.org/users/9482166/items/K3JTK6UD"],"itemData":{"id":427,"type":"chapter","container-title":"Methods in Enzymology","ISBN":"978-0-12-182067-1","language":"en","note":"DOI: 10.1016/S0076-6879(88)66037-X","page":"275-281","publisher":"Elsevier","source":"DOI.org (Crossref)","title":"[35] Pancreatic branched-chain-amino-acid aminotransferase","URL":"https://linkinghub.elsevier.com/retrieve/pii/S007668798866037X","volume":"166","author":[{"family":"Kido","given":"Ryo"}],"accessed":{"date-parts":[["2023",11,7]]},"issued":{"date-parts":[["1988"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[57]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6.862⋅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5.027⋅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5.611⋅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eastAsia="Calibri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mleu9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1.110⋅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{"citationID":"Hqm5kGuL","properties":{"formattedCitation":"[57]","plainCitation":"[57]","noteIndex":0},"citationItems":[{"id":427,"uris":["http://zotero.org/users/9482166/items/K3JTK6UD"],"itemData":{"id":427,"type":"chapter","container-title":"Methods in Enzymology","ISBN":"978-0-12-182067-1","language":"en","note":"DOI: 10.1016/S0076-6879(88)66037-X","page":"275-281","publisher":"Elsevier","source":"DOI.org (Crossref)","title":"[35] Pancreatic branched-chain-amino-acid aminotransferase","URL":"https://linkinghub.elsevier.com/retrieve/pii/S007668798866037X","volume":"166","author":[{"family":"Kido","given":"Ryo"}],"accessed":{"date-parts":[["2023",11,7]]},"issued":{"date-parts":[["1988"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[57]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1.496⋅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7.041⋅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1.948⋅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mglu9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6.650⋅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{"citationID":"lu2QSTT6","properties":{"formattedCitation":"[58]","plainCitation":"[58]","noteIndex":0},"citationItems":[{"id":428,"uris":["http://zotero.org/users/9482166/items/HXZ7CGAF"],"itemData":{"id":428,"type":"article-journal","container-title":"Analytical Biochemistry","DOI":"10.1006/abio.1996.0252","ISSN":"00032697","issue":"1","journalAbbreviation":"Analytical Biochemistry","language":"en","page":"65-71","source":"DOI.org (Crossref)","title":"Coupled Enzymatic Assay for Estimation of Branched-Chainl-Amino Acid Aminotransferase Activity with 2-Oxo Acid Substrates","volume":"238","author":[{"family":"Schadewaldt","given":"Peter"},{"family":"Adelmeyer","given":"Frank"}],"issued":{"date-parts":[["1996",6]]}}}],"schema":"https://github.com/citation-style-language/schema/raw/master/csl-citation.json"}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[58]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1.273⋅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5.398⋅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1.578⋅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mser10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{"citationID":"zH8i2Sdu","properties":{"formattedCitation":"[59]","plainCitation":"[59]","noteIndex":0},"citationItems":[{"id":429,"uris":["http://zotero.org/users/9482166/items/IQPQEG2R"],"itemData":{"id":429,"type":"article-journal","container-title":"The International Journal of Biochemistry &amp; Cell Biology","DOI":"10.1016/j.biocel.2004.08.004","ISSN":"13572725","issue":"3","journalAbbreviation":"The International Journal of Biochemistry &amp; Cell Biology","language":"en","page":"574-589","source":"DOI.org (Crossref)","title":"Some biochemical and histochemical properties of human liver serine dehydratase","volume":"37","author":[{"family":"Kashii","given":"Tatsuhiko"},{"family":"Gomi","given":"Tomoharu"},{"family":"Oya","given":"Takeshi"},{"family":"Ishii","given":"Yoko"},{"family":"Oda","given":"Hirofumi"},{"family":"Maruyama","given":"Muneharu"},{"family":"Kobayashi","given":"Masashi"},{"family":"Masuda","given":"Tohru"},{"family":"Yamazaki","given":"Mitsuaki"},{"family":"Nagata","given":"Takuya"},{"family":"Tsukada","given":"Kazuhiro"},{"family":"Nakajima","given":"Akinori"},{"family":"Tatsu","given":"Kazuhito"},{"family":"Mori","given":"Hisashi"},{"family":"Takusagawa","given":"Fusao"},{"family":"Ogawa","given":"Hirofumi"},{"family":"Pitot","given":"Henry C."}],"issued":{"date-parts":[["2005",3]]}}}],"schema":"https://github.com/citation-style-language/schema/raw/master/csl-citation.json"}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[59]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*</w:t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1.203⋅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5.354⋅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1.364⋅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4.500⋅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{"citationID":"opCSz2z8","properties":{"formattedCitation":"[54]","plainCitation":"[54]","noteIndex":0},"citationItems":[{"id":423,"uris":["http://zotero.org/users/9482166/items/JKM2LCKB"],"itemData":{"id":423,"type":"article-journal","container-title":"Biotechnology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6.830⋅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7.300⋅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6.360⋅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glc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1.780⋅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/>
              </w:rPr>
              <w:fldChar w:fldCharType="begin"/>
            </w:r>
            <w:r>
              <w:rPr>
                <w:rFonts w:eastAsia="Calibri"/>
              </w:rPr>
              <w:instrText xml:space="preserve"> ADDIN ZOTERO_ITEM CSL_CITATION {"citationID":"LJdvkN2w","properties":{"formattedCitation":"[54]","plainCitation":"[54]","noteIndex":0},"citationItems":[{"id":423,"uris":["http://zotero.org/users/9482166/items/JKM2LCKB"],"itemData":{"id":423,"type":"article-journal","container-title":"Biotechnology Progress","DOI":"10.1021/bp050028k","ISSN":"87567938","issue":"4","journalAbbreviation":"Biotechnol Progress","language":"en","page":"1128-1135","source":"DOI.org (Crossref)","title":"Application of Global Sensitivity Analysis to Determine Goals for Design of Experiments: An Example Study on Antibody-Producing Cell Cultures","title-short":"Application of Global Sensitivity Analysis to Determine Goals for Design of Experiments","volume":"21","author":[{"family":"Kontoravdi","given":"Cleo"},{"family":"Asprey","given":"Steven P."},{"family":"Pistikopoulos","given":"Efstratios N."},{"family":"Mantalaris","given":"Athanasios"}],"issued":{"date-parts":[["2008",9,5]]}}}],"schema":"https://github.com/citation-style-language/schema/raw/master/csl-citation.json"} </w:instrText>
            </w:r>
            <w:r>
              <w:rPr>
                <w:rFonts w:eastAsia="Calibri"/>
              </w:rPr>
              <w:fldChar w:fldCharType="separate"/>
            </w:r>
            <w:r w:rsidRPr="00EA03E9">
              <w:rPr>
                <w:rFonts w:eastAsia="Calibri"/>
              </w:rPr>
              <w:t>[54]</w:t>
            </w:r>
            <w:r>
              <w:rPr>
                <w:rFonts w:eastAsia="Calibri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4.250⋅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3.380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4.130⋅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mpyr11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3.900⋅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fldChar w:fldCharType="begin"/>
            </w:r>
            <w:r>
              <w:rPr>
                <w:rFonts w:eastAsia="Calibri" w:cs="Arial"/>
              </w:rPr>
              <w:instrText xml:space="preserve"> ADDIN ZOTERO_ITEM CSL_CITATION {"citationID":"90OTBLTY","properties":{"formattedCitation":"[12]","plainCitation":"[12]","noteIndex":0},"citationItems":[{"id":334,"uris":["http://zotero.org/users/9482166/items/HKPSZW9V"],"itemData":{"id":334,"type":"article-journal","container-title":"PLOS ONE","DOI":"10.1371/journal.pone.0136815","ISSN":"1932-6203","issue":"9","journalAbbreviation":"PLoS ONE","language":"en","page":"e0136815","source":"DOI.org (Crossref)","title":"A Single Dynamic Metabolic Model Can Describe mAb Producing CHO Cell Batch and Fed-Batch Cultures on Different Culture Media","volume":"10","author":[{"family":"Robitaille","given":"Julien"},{"family":"Chen","given":"Jingkui"},{"family":"Jolicoeur","given":"Mario"}],"editor":[{"family":"Torres","given":"Néstor V."}],"issued":{"date-parts":[["2015",9,2]]}}}],"schema":"https://github.com/citation-style-language/schema/raw/master/csl-citation.json"} </w:instrText>
            </w:r>
            <w:r>
              <w:rPr>
                <w:rFonts w:eastAsia="Calibri" w:cs="Arial"/>
              </w:rPr>
              <w:fldChar w:fldCharType="separate"/>
            </w:r>
            <w:r w:rsidRPr="00EA03E9">
              <w:rPr>
                <w:rFonts w:eastAsia="Calibri"/>
              </w:rPr>
              <w:t>[12]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2.803⋅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2.346⋅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2.986⋅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AC65F7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iasn11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2.338⋅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2.569⋅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5.383⋅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1.772⋅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1.847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1.834⋅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1.289⋅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1.879⋅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4.804⋅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γ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4.006⋅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4.544⋅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3.710⋅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0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3,base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1.000⋅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eastAsia="Calibri" w:cs="Arial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4.010⋅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1.345⋅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6.190⋅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AC65F7" w:rsidRPr="001406A6" w:rsidTr="000A4D90">
        <w:tc>
          <w:tcPr>
            <w:tcW w:w="96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/>
                      </w:rPr>
                      <m:t>lac/biomass</m:t>
                    </m:r>
                  </m:sub>
                </m:sSub>
              </m:oMath>
            </m:oMathPara>
          </w:p>
        </w:tc>
        <w:tc>
          <w:tcPr>
            <w:tcW w:w="1304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1.670⋅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+1</m:t>
                    </m:r>
                  </m:sup>
                </m:sSup>
              </m:oMath>
            </m:oMathPara>
          </w:p>
        </w:tc>
        <w:tc>
          <w:tcPr>
            <w:tcW w:w="567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</w:p>
        </w:tc>
        <w:tc>
          <w:tcPr>
            <w:tcW w:w="1474" w:type="dxa"/>
          </w:tcPr>
          <w:p w:rsidR="00AC65F7" w:rsidRDefault="00AC65F7" w:rsidP="000A4D90">
            <w:pPr>
              <w:pStyle w:val="MDPI42tablebody"/>
              <w:spacing w:line="240" w:lineRule="auto"/>
              <w:rPr>
                <w:rFonts w:ascii="Calibri" w:eastAsia="Calibri" w:hAnsi="Calibri"/>
              </w:rPr>
            </w:pPr>
            <w:r>
              <w:rPr>
                <w:rFonts w:eastAsia="Calibri" w:cs="Arial"/>
              </w:rPr>
              <w:t>75 % - 50 %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left"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vAlign w:val="center"/>
          </w:tcPr>
          <w:p w:rsidR="00AC65F7" w:rsidRDefault="00AC65F7" w:rsidP="000A4D90">
            <w:pPr>
              <w:pStyle w:val="MDPI42tablebody"/>
              <w:spacing w:line="240" w:lineRule="auto"/>
              <w:jc w:val="both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hAnsi="Cambria Math"/>
                  </w:rPr>
                  <m:t>3.233⋅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+2</m:t>
                    </m:r>
                  </m:sup>
                </m:sSup>
              </m:oMath>
            </m:oMathPara>
          </w:p>
        </w:tc>
      </w:tr>
    </w:tbl>
    <w:p w:rsidR="00AC65F7" w:rsidRDefault="00AC65F7" w:rsidP="00AC65F7">
      <w:pPr>
        <w:pStyle w:val="MDPI31text"/>
        <w:ind w:left="0" w:firstLine="0"/>
      </w:pPr>
      <w:bookmarkStart w:id="0" w:name="_GoBack"/>
      <w:bookmarkEnd w:id="0"/>
      <w:r>
        <w:lastRenderedPageBreak/>
        <w:t xml:space="preserve">* </w:t>
      </w:r>
      <w:r w:rsidRPr="00061628">
        <w:t xml:space="preserve">Kinetic parameters found on BRENDA originate from data for the species </w:t>
      </w:r>
      <w:proofErr w:type="spellStart"/>
      <w:r w:rsidRPr="00061628">
        <w:t>Rattus</w:t>
      </w:r>
      <w:proofErr w:type="spellEnd"/>
      <w:r w:rsidRPr="00061628">
        <w:t xml:space="preserve"> </w:t>
      </w:r>
      <w:proofErr w:type="spellStart"/>
      <w:r w:rsidRPr="00061628">
        <w:t>norvegicus</w:t>
      </w:r>
      <w:proofErr w:type="spellEnd"/>
      <w:r w:rsidRPr="00061628">
        <w:t xml:space="preserve"> or </w:t>
      </w:r>
      <w:proofErr w:type="spellStart"/>
      <w:r w:rsidRPr="00061628">
        <w:t>Cavia</w:t>
      </w:r>
      <w:proofErr w:type="spellEnd"/>
      <w:r w:rsidRPr="00061628">
        <w:t xml:space="preserve"> </w:t>
      </w:r>
      <w:proofErr w:type="spellStart"/>
      <w:r w:rsidRPr="00061628">
        <w:t>porcellus</w:t>
      </w:r>
      <w:proofErr w:type="spellEnd"/>
      <w:r w:rsidRPr="00061628">
        <w:t xml:space="preserve"> since no data was available for </w:t>
      </w:r>
      <w:proofErr w:type="spellStart"/>
      <w:r w:rsidRPr="00061628">
        <w:t>Cricetulus</w:t>
      </w:r>
      <w:proofErr w:type="spellEnd"/>
      <w:r w:rsidRPr="00061628">
        <w:t xml:space="preserve"> </w:t>
      </w:r>
      <w:proofErr w:type="spellStart"/>
      <w:r w:rsidRPr="00061628">
        <w:t>griseus</w:t>
      </w:r>
      <w:proofErr w:type="spellEnd"/>
      <w:r w:rsidRPr="00061628">
        <w:t xml:space="preserve"> (Chinese hamster); BRENDA is available at </w:t>
      </w:r>
      <w:hyperlink r:id="rId5" w:history="1">
        <w:r w:rsidRPr="00C04D6D">
          <w:rPr>
            <w:rStyle w:val="Hyperlink"/>
          </w:rPr>
          <w:t>www.brenda-enzymes.org</w:t>
        </w:r>
      </w:hyperlink>
      <w:r>
        <w:t xml:space="preserve">; </w:t>
      </w:r>
      <w:r>
        <w:br/>
        <w:t xml:space="preserve">exp. = observed maximal fluxes, arb. = arbitrary values </w:t>
      </w:r>
    </w:p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A0F88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hybridMultilevel"/>
    <w:tmpl w:val="647A1BBC"/>
    <w:lvl w:ilvl="0" w:tplc="14D0E944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6F5D"/>
    <w:multiLevelType w:val="hybridMultilevel"/>
    <w:tmpl w:val="435EDCC8"/>
    <w:lvl w:ilvl="0" w:tplc="776A84AC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01181B"/>
    <w:multiLevelType w:val="hybridMultilevel"/>
    <w:tmpl w:val="CAEC4C32"/>
    <w:lvl w:ilvl="0" w:tplc="19647C3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30756F"/>
    <w:multiLevelType w:val="hybridMultilevel"/>
    <w:tmpl w:val="56A215EE"/>
    <w:lvl w:ilvl="0" w:tplc="03A8BB5C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1" w15:restartNumberingAfterBreak="0">
    <w:nsid w:val="66C973DD"/>
    <w:multiLevelType w:val="hybridMultilevel"/>
    <w:tmpl w:val="3C06259C"/>
    <w:lvl w:ilvl="0" w:tplc="D0107F62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2" w15:restartNumberingAfterBreak="0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1"/>
  </w:num>
  <w:num w:numId="11">
    <w:abstractNumId w:val="9"/>
  </w:num>
  <w:num w:numId="12">
    <w:abstractNumId w:val="1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5F7"/>
    <w:rsid w:val="00A80DA7"/>
    <w:rsid w:val="00AC65F7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182D"/>
  <w15:chartTrackingRefBased/>
  <w15:docId w15:val="{34BC5D47-9D37-422D-8520-05EAD996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C65F7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11articletype">
    <w:name w:val="MDPI_1.1_article_type"/>
    <w:next w:val="Standard"/>
    <w:qFormat/>
    <w:rsid w:val="00AC65F7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Standard"/>
    <w:qFormat/>
    <w:rsid w:val="00AC65F7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Standard"/>
    <w:qFormat/>
    <w:rsid w:val="00AC65F7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Standard"/>
    <w:next w:val="Standard"/>
    <w:qFormat/>
    <w:rsid w:val="00AC65F7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AC65F7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Standard"/>
    <w:qFormat/>
    <w:rsid w:val="00AC65F7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Standard"/>
    <w:qFormat/>
    <w:rsid w:val="00AC65F7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line">
    <w:name w:val="MDPI_1.9_line"/>
    <w:qFormat/>
    <w:rsid w:val="00AC65F7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table" w:customStyle="1" w:styleId="Mdeck5tablebodythreelines">
    <w:name w:val="M_deck_5_table_body_three_lines"/>
    <w:basedOn w:val="NormaleTabelle"/>
    <w:uiPriority w:val="99"/>
    <w:rsid w:val="00AC65F7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lenraster">
    <w:name w:val="Table Grid"/>
    <w:basedOn w:val="NormaleTabelle"/>
    <w:uiPriority w:val="39"/>
    <w:rsid w:val="00AC65F7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AC6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AC65F7"/>
    <w:rPr>
      <w:rFonts w:ascii="Palatino Linotype" w:eastAsia="SimSun" w:hAnsi="Palatino Linotype" w:cs="Times New Roman"/>
      <w:color w:val="000000"/>
      <w:sz w:val="20"/>
      <w:szCs w:val="18"/>
      <w:lang w:val="en-US" w:eastAsia="zh-CN"/>
    </w:rPr>
  </w:style>
  <w:style w:type="paragraph" w:customStyle="1" w:styleId="MDPIheaderjournallogo">
    <w:name w:val="MDPI_header_journal_logo"/>
    <w:qFormat/>
    <w:rsid w:val="00AC65F7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AC65F7"/>
    <w:pPr>
      <w:ind w:firstLine="0"/>
    </w:pPr>
  </w:style>
  <w:style w:type="paragraph" w:customStyle="1" w:styleId="MDPI31text">
    <w:name w:val="MDPI_3.1_text"/>
    <w:qFormat/>
    <w:rsid w:val="00AC65F7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AC65F7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AC65F7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AC65F7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AC65F7"/>
    <w:pPr>
      <w:numPr>
        <w:numId w:val="10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AC65F7"/>
    <w:pPr>
      <w:numPr>
        <w:numId w:val="1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AC65F7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AC65F7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tablecaption">
    <w:name w:val="MDPI_4.1_table_caption"/>
    <w:qFormat/>
    <w:rsid w:val="00AC65F7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AC65F7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AC65F7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figurecaption">
    <w:name w:val="MDPI_5.1_figure_caption"/>
    <w:qFormat/>
    <w:rsid w:val="00AC65F7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AC65F7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23heading3">
    <w:name w:val="MDPI_2.3_heading3"/>
    <w:qFormat/>
    <w:rsid w:val="00AC65F7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1heading1">
    <w:name w:val="MDPI_2.1_heading1"/>
    <w:qFormat/>
    <w:rsid w:val="00AC65F7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AC65F7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qFormat/>
    <w:rsid w:val="00AC65F7"/>
    <w:pPr>
      <w:numPr>
        <w:numId w:val="1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styleId="Sprechblasentext">
    <w:name w:val="Balloon Text"/>
    <w:basedOn w:val="Standard"/>
    <w:link w:val="SprechblasentextZchn"/>
    <w:uiPriority w:val="99"/>
    <w:rsid w:val="00AC65F7"/>
    <w:rPr>
      <w:rFonts w:cs="Tahoma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AC65F7"/>
    <w:rPr>
      <w:rFonts w:ascii="Palatino Linotype" w:eastAsia="SimSun" w:hAnsi="Palatino Linotype" w:cs="Tahoma"/>
      <w:color w:val="000000"/>
      <w:sz w:val="20"/>
      <w:szCs w:val="18"/>
      <w:lang w:val="en-US" w:eastAsia="zh-CN"/>
    </w:rPr>
  </w:style>
  <w:style w:type="character" w:styleId="Zeilennummer">
    <w:name w:val="line number"/>
    <w:uiPriority w:val="99"/>
    <w:rsid w:val="00AC65F7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NormaleTabelle"/>
    <w:uiPriority w:val="99"/>
    <w:rsid w:val="00AC65F7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AC65F7"/>
    <w:rPr>
      <w:color w:val="0000FF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AC65F7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rsid w:val="00AC65F7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AC65F7"/>
    <w:rPr>
      <w:rFonts w:ascii="Palatino Linotype" w:eastAsia="SimSun" w:hAnsi="Palatino Linotype" w:cs="Times New Roman"/>
      <w:color w:val="000000"/>
      <w:sz w:val="20"/>
      <w:szCs w:val="18"/>
      <w:lang w:val="en-US" w:eastAsia="zh-CN"/>
    </w:rPr>
  </w:style>
  <w:style w:type="table" w:styleId="EinfacheTabelle4">
    <w:name w:val="Plain Table 4"/>
    <w:basedOn w:val="NormaleTabelle"/>
    <w:uiPriority w:val="44"/>
    <w:rsid w:val="00AC65F7"/>
    <w:pPr>
      <w:spacing w:after="0" w:line="240" w:lineRule="auto"/>
    </w:pPr>
    <w:rPr>
      <w:rFonts w:ascii="Calibri" w:eastAsia="SimSun" w:hAnsi="Calibri" w:cs="Times New Roman"/>
      <w:sz w:val="20"/>
      <w:szCs w:val="20"/>
      <w:lang w:val="en-US" w:eastAsia="zh-C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AC65F7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81theorem">
    <w:name w:val="MDPI_8.1_theorem"/>
    <w:qFormat/>
    <w:rsid w:val="00AC65F7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AC65F7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61Citation">
    <w:name w:val="MDPI_6.1_Citation"/>
    <w:qFormat/>
    <w:rsid w:val="00AC65F7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AC65F7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AC65F7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15academiceditor">
    <w:name w:val="MDPI_1.5_academic_editor"/>
    <w:qFormat/>
    <w:rsid w:val="00AC65F7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AC65F7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AC65F7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AC65F7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AC65F7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AC65F7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AC65F7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AC65F7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AC65F7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AC65F7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AC65F7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AC65F7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NormaleTabelle"/>
    <w:uiPriority w:val="99"/>
    <w:rsid w:val="00AC65F7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AC65F7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AC65F7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rsid w:val="00AC65F7"/>
  </w:style>
  <w:style w:type="paragraph" w:styleId="Literaturverzeichnis">
    <w:name w:val="Bibliography"/>
    <w:basedOn w:val="Standard"/>
    <w:next w:val="Standard"/>
    <w:uiPriority w:val="37"/>
    <w:unhideWhenUsed/>
    <w:rsid w:val="00AC65F7"/>
    <w:pPr>
      <w:tabs>
        <w:tab w:val="left" w:pos="504"/>
      </w:tabs>
      <w:spacing w:line="240" w:lineRule="atLeast"/>
      <w:ind w:left="504" w:hanging="504"/>
    </w:pPr>
  </w:style>
  <w:style w:type="paragraph" w:styleId="Textkrper">
    <w:name w:val="Body Text"/>
    <w:link w:val="TextkrperZchn"/>
    <w:rsid w:val="00AC65F7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customStyle="1" w:styleId="TextkrperZchn">
    <w:name w:val="Textkörper Zchn"/>
    <w:basedOn w:val="Absatz-Standardschriftart"/>
    <w:link w:val="Textkrper"/>
    <w:rsid w:val="00AC65F7"/>
    <w:rPr>
      <w:rFonts w:ascii="Palatino Linotype" w:eastAsia="SimSun" w:hAnsi="Palatino Linotype" w:cs="Times New Roman"/>
      <w:color w:val="000000"/>
      <w:sz w:val="24"/>
      <w:szCs w:val="20"/>
      <w:lang w:val="en-US" w:eastAsia="de-DE"/>
    </w:rPr>
  </w:style>
  <w:style w:type="character" w:styleId="Kommentarzeichen">
    <w:name w:val="annotation reference"/>
    <w:uiPriority w:val="99"/>
    <w:rsid w:val="00AC65F7"/>
    <w:rPr>
      <w:sz w:val="21"/>
      <w:szCs w:val="21"/>
    </w:rPr>
  </w:style>
  <w:style w:type="paragraph" w:styleId="Kommentartext">
    <w:name w:val="annotation text"/>
    <w:basedOn w:val="Standard"/>
    <w:link w:val="KommentartextZchn"/>
    <w:rsid w:val="00AC65F7"/>
  </w:style>
  <w:style w:type="character" w:customStyle="1" w:styleId="KommentartextZchn">
    <w:name w:val="Kommentartext Zchn"/>
    <w:basedOn w:val="Absatz-Standardschriftart"/>
    <w:link w:val="Kommentartext"/>
    <w:rsid w:val="00AC65F7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paragraph" w:styleId="Kommentarthema">
    <w:name w:val="annotation subject"/>
    <w:basedOn w:val="Kommentartext"/>
    <w:next w:val="Kommentartext"/>
    <w:link w:val="KommentarthemaZchn"/>
    <w:rsid w:val="00AC65F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5F7"/>
    <w:rPr>
      <w:rFonts w:ascii="Palatino Linotype" w:eastAsia="SimSun" w:hAnsi="Palatino Linotype" w:cs="Times New Roman"/>
      <w:b/>
      <w:bCs/>
      <w:color w:val="000000"/>
      <w:sz w:val="20"/>
      <w:szCs w:val="20"/>
      <w:lang w:val="en-US" w:eastAsia="zh-CN"/>
    </w:rPr>
  </w:style>
  <w:style w:type="character" w:styleId="Endnotenzeichen">
    <w:name w:val="endnote reference"/>
    <w:rsid w:val="00AC65F7"/>
    <w:rPr>
      <w:vertAlign w:val="superscript"/>
    </w:rPr>
  </w:style>
  <w:style w:type="paragraph" w:styleId="Endnotentext">
    <w:name w:val="endnote text"/>
    <w:basedOn w:val="Standard"/>
    <w:link w:val="EndnotentextZchn"/>
    <w:semiHidden/>
    <w:unhideWhenUsed/>
    <w:rsid w:val="00AC65F7"/>
    <w:pPr>
      <w:spacing w:line="240" w:lineRule="auto"/>
    </w:pPr>
  </w:style>
  <w:style w:type="character" w:customStyle="1" w:styleId="EndnotentextZchn">
    <w:name w:val="Endnotentext Zchn"/>
    <w:basedOn w:val="Absatz-Standardschriftart"/>
    <w:link w:val="Endnotentext"/>
    <w:semiHidden/>
    <w:rsid w:val="00AC65F7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styleId="BesuchterLink">
    <w:name w:val="FollowedHyperlink"/>
    <w:rsid w:val="00AC65F7"/>
    <w:rPr>
      <w:color w:val="954F72"/>
      <w:u w:val="single"/>
    </w:rPr>
  </w:style>
  <w:style w:type="paragraph" w:styleId="Funotentext">
    <w:name w:val="footnote text"/>
    <w:basedOn w:val="Standard"/>
    <w:link w:val="FunotentextZchn"/>
    <w:semiHidden/>
    <w:unhideWhenUsed/>
    <w:rsid w:val="00AC65F7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AC65F7"/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paragraph" w:styleId="StandardWeb">
    <w:name w:val="Normal (Web)"/>
    <w:basedOn w:val="Standard"/>
    <w:uiPriority w:val="99"/>
    <w:rsid w:val="00AC65F7"/>
    <w:rPr>
      <w:szCs w:val="24"/>
    </w:rPr>
  </w:style>
  <w:style w:type="paragraph" w:customStyle="1" w:styleId="MsoFootnoteText0">
    <w:name w:val="MsoFootnoteText"/>
    <w:basedOn w:val="StandardWeb"/>
    <w:qFormat/>
    <w:rsid w:val="00AC65F7"/>
    <w:rPr>
      <w:rFonts w:ascii="Times New Roman" w:hAnsi="Times New Roman"/>
    </w:rPr>
  </w:style>
  <w:style w:type="character" w:styleId="Seitenzahl">
    <w:name w:val="page number"/>
    <w:rsid w:val="00AC65F7"/>
  </w:style>
  <w:style w:type="character" w:styleId="Platzhaltertext">
    <w:name w:val="Placeholder Text"/>
    <w:uiPriority w:val="99"/>
    <w:semiHidden/>
    <w:rsid w:val="00AC65F7"/>
    <w:rPr>
      <w:color w:val="808080"/>
    </w:rPr>
  </w:style>
  <w:style w:type="paragraph" w:customStyle="1" w:styleId="MDPI71FootNotes">
    <w:name w:val="MDPI_7.1_FootNotes"/>
    <w:qFormat/>
    <w:rsid w:val="00AC65F7"/>
    <w:pPr>
      <w:numPr>
        <w:numId w:val="6"/>
      </w:numPr>
      <w:adjustRightInd w:val="0"/>
      <w:snapToGrid w:val="0"/>
      <w:spacing w:after="0" w:line="228" w:lineRule="auto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AC65F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  <w:lang w:val="de-DE" w:eastAsia="en-US"/>
      <w14:ligatures w14:val="standardContextual"/>
    </w:rPr>
  </w:style>
  <w:style w:type="paragraph" w:styleId="Beschriftung">
    <w:name w:val="caption"/>
    <w:basedOn w:val="Standard"/>
    <w:next w:val="Standard"/>
    <w:uiPriority w:val="35"/>
    <w:unhideWhenUsed/>
    <w:qFormat/>
    <w:rsid w:val="00AC65F7"/>
    <w:pPr>
      <w:spacing w:after="200" w:line="240" w:lineRule="auto"/>
      <w:jc w:val="lef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AC65F7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renda-enzyme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4152</Words>
  <Characters>26161</Characters>
  <Application>Microsoft Office Word</Application>
  <DocSecurity>0</DocSecurity>
  <Lines>218</Lines>
  <Paragraphs>60</Paragraphs>
  <ScaleCrop>false</ScaleCrop>
  <Company/>
  <LinksUpToDate>false</LinksUpToDate>
  <CharactersWithSpaces>30253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2024-01-04T08:37:00Z</dcterms:created>
  <dcterms:modified xsi:type="dcterms:W3CDTF">2024-01-04T08:37:00Z</dcterms:modified>
</cp:coreProperties>
</file>